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червня 2018 року</w:t>
        <w:tab/>
        <w:tab/>
        <w:tab/>
        <w:tab/>
        <w:t xml:space="preserve">№ 471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935" distR="114935" hidden="0" layoutInCell="1" locked="0" relativeHeight="0" simplePos="0">
                <wp:simplePos x="0" y="0"/>
                <wp:positionH relativeFrom="column">
                  <wp:posOffset>636</wp:posOffset>
                </wp:positionH>
                <wp:positionV relativeFrom="paragraph">
                  <wp:posOffset>12700</wp:posOffset>
                </wp:positionV>
                <wp:extent cx="3293110" cy="416560"/>
                <wp:effectExtent b="0" l="0" r="0" t="0"/>
                <wp:wrapSquare wrapText="bothSides" distB="0" distT="0" distL="114935" distR="114935"/>
                <wp:docPr id="1" name=""/>
                <a:graphic>
                  <a:graphicData uri="http://schemas.microsoft.com/office/word/2010/wordprocessingShape">
                    <wps:wsp>
                      <wps:cNvSpPr/>
                      <wps:cNvPr id="2" name="Shape 2"/>
                      <wps:spPr>
                        <a:xfrm>
                          <a:off x="3704208" y="3576483"/>
                          <a:ext cx="3283585" cy="407035"/>
                        </a:xfrm>
                        <a:prstGeom prst="rect">
                          <a:avLst/>
                        </a:prstGeom>
                        <a:solidFill>
                          <a:srgbClr val="FFFFFF"/>
                        </a:solidFill>
                        <a:ln>
                          <a:noFill/>
                        </a:ln>
                      </wps:spPr>
                      <wps:txbx>
                        <w:txbxContent>
                          <w:p w:rsidR="00000000" w:rsidDel="00000000" w:rsidP="00000000" w:rsidRDefault="00000000" w:rsidRPr="00000000">
                            <w:pPr>
                              <w:spacing w:after="120" w:before="0" w:line="240"/>
                              <w:ind w:left="0" w:right="13.999999761581421" w:firstLine="0"/>
                              <w:jc w:val="both"/>
                              <w:textDirection w:val="btLr"/>
                            </w:pPr>
                            <w:r w:rsidDel="00000000" w:rsidR="00000000" w:rsidRPr="00000000">
                              <w:rPr>
                                <w:rFonts w:ascii="Arial" w:cs="Arial" w:eastAsia="Arial" w:hAnsi="Arial"/>
                                <w:b w:val="1"/>
                                <w:i w:val="1"/>
                                <w:smallCaps w:val="0"/>
                                <w:strike w:val="0"/>
                                <w:color w:val="000000"/>
                                <w:sz w:val="28"/>
                                <w:vertAlign w:val="baseline"/>
                              </w:rPr>
                              <w:t xml:space="preserve">Про внесення змін до показників районного бюджету на 2018 рік</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935" distR="114935" hidden="0" layoutInCell="1" locked="0" relativeHeight="0" simplePos="0">
                <wp:simplePos x="0" y="0"/>
                <wp:positionH relativeFrom="column">
                  <wp:posOffset>636</wp:posOffset>
                </wp:positionH>
                <wp:positionV relativeFrom="paragraph">
                  <wp:posOffset>12700</wp:posOffset>
                </wp:positionV>
                <wp:extent cx="3293110" cy="416560"/>
                <wp:effectExtent b="0" l="0" r="0" t="0"/>
                <wp:wrapSquare wrapText="bothSides" distB="0" distT="0" distL="114935" distR="114935"/>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3293110" cy="416560"/>
                        </a:xfrm>
                        <a:prstGeom prst="rect"/>
                        <a:ln/>
                      </pic:spPr>
                    </pic:pic>
                  </a:graphicData>
                </a:graphic>
              </wp:anchor>
            </w:drawing>
          </mc:Fallback>
        </mc:AlternateConten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п.7 ч.1 ст.39 Закону України «Про місцеві державні адміністрації», розпорядження голови Львівської обласної державної адміністрації від 29 травня 2018 року № 514/0/5-18 «Про затвердження Порядку  компенсації витрат автомобільним перевізникам, які мають право на пільговий проїзд на маршрутах загального користування»:</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Збільшити дохідну частину загального фонду районного бюджету за рахунок субвенції з обласного бюджету за кодом бюджетної класифікації 41053900 «Інші субвенції з місцевого бюджету» в сумі 349 270,00 (триста сорок дев’ять тисяч двісті сімдесят) гривень.</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Спрямувати кошти субвенції з обласного бюджету управлінню соціальному захисту населення районної державної адміністрації за КПКВКМБ 0813033 «Компенсаційні виплати на пільговий проїзд автомобільним транспортом окремим категоріям громадян» КЕКВ 2610 (субсидії та поточні трансферти підприємствам (установам, організаціям)) в сумі 349 270,00 (триста сорок дев’ять тисяч двісті сімдесят) гривень на компенсацію витрат автомобільним перевізникам.</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Управлінню соціального захисту населення районної державної адміністрації (М.Степований) забезпечити цільове та ефективне використання коштів субвенції з обласного бюджету.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Фінансовому управлінню районної державної адміністрації (Л.Максим) внести відповідні зміни у показники районного бюджету на 2018 рік .</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Контроль за виконанням розпорядження залишаю за собою.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